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anchor0"/>
    <w:bookmarkEnd w:id="0"/>
    <w:p w:rsidR="00A3665B" w:rsidRDefault="00983347">
      <w:pPr>
        <w:pStyle w:val="1"/>
      </w:pPr>
      <w:r>
        <w:fldChar w:fldCharType="begin"/>
      </w:r>
      <w:r>
        <w:instrText xml:space="preserve"> HYPERLINK  "https://internet.garant.ru/document/redirect/10108000/0" </w:instrText>
      </w:r>
      <w:r>
        <w:fldChar w:fldCharType="separate"/>
      </w:r>
      <w:r>
        <w:t>Уголовный кодекс Российской Федерации от 13 июня 1996 г. N 63-ФЗ (УК РФ) (с изменениями и дополнениями)</w:t>
      </w:r>
      <w:r>
        <w:fldChar w:fldCharType="end"/>
      </w:r>
    </w:p>
    <w:bookmarkStart w:id="1" w:name="_GoBack"/>
    <w:bookmarkEnd w:id="1"/>
    <w:p w:rsidR="00A3665B" w:rsidRDefault="00983347">
      <w:pPr>
        <w:pStyle w:val="4"/>
      </w:pPr>
      <w:r>
        <w:fldChar w:fldCharType="begin"/>
      </w:r>
      <w:r>
        <w:instrText xml:space="preserve"> HYPERLINK  "https://internet.garant.ru/document/redirect/10108000/306" </w:instrText>
      </w:r>
      <w:r>
        <w:fldChar w:fldCharType="separate"/>
      </w:r>
      <w:r>
        <w:t>Статья 306. Заведомо ложный донос</w:t>
      </w:r>
      <w:r>
        <w:fldChar w:fldCharType="end"/>
      </w:r>
    </w:p>
    <w:p w:rsidR="00A3665B" w:rsidRDefault="00983347">
      <w:pPr>
        <w:pStyle w:val="a6"/>
      </w:pPr>
      <w:r>
        <w:rPr>
          <w:b/>
          <w:color w:val="26282F"/>
        </w:rPr>
        <w:t>Статья 306.</w:t>
      </w:r>
      <w:r>
        <w:t xml:space="preserve"> Заведомо ложный донос</w:t>
      </w:r>
    </w:p>
    <w:p w:rsidR="00A3665B" w:rsidRDefault="00983347">
      <w:pPr>
        <w:pStyle w:val="a3"/>
      </w:pPr>
      <w:r>
        <w:t xml:space="preserve">1. </w:t>
      </w:r>
      <w:hyperlink r:id="rId7" w:history="1">
        <w:r>
          <w:t>Заведомо ложный донос</w:t>
        </w:r>
      </w:hyperlink>
      <w:r>
        <w:t xml:space="preserve"> о совершении преступления -</w:t>
      </w:r>
    </w:p>
    <w:p w:rsidR="00A3665B" w:rsidRDefault="00983347">
      <w:pPr>
        <w:pStyle w:val="a3"/>
      </w:pPr>
      <w:bookmarkStart w:id="2" w:name="anchor30612"/>
      <w:bookmarkEnd w:id="2"/>
      <w:proofErr w:type="gramStart"/>
      <w:r>
        <w:t>наказывается штрафом в размере до ста двадцати тысяч рублей или в размере заработной платы или ин</w:t>
      </w:r>
      <w:r>
        <w:t>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w:t>
      </w:r>
      <w:r>
        <w:t>ев, либо лишением свободы на срок</w:t>
      </w:r>
      <w:proofErr w:type="gramEnd"/>
      <w:r>
        <w:t xml:space="preserve"> до двух лет.</w:t>
      </w:r>
    </w:p>
    <w:p w:rsidR="00A3665B" w:rsidRDefault="00983347">
      <w:pPr>
        <w:pStyle w:val="a3"/>
      </w:pPr>
      <w:r>
        <w:t>2. То же деяние, соединенное с обвинением лица в совершении тяжкого или особо тяжкого преступления, -</w:t>
      </w:r>
    </w:p>
    <w:p w:rsidR="00A3665B" w:rsidRDefault="00983347">
      <w:pPr>
        <w:pStyle w:val="a3"/>
      </w:pPr>
      <w:bookmarkStart w:id="3" w:name="anchor306022"/>
      <w:bookmarkEnd w:id="3"/>
      <w:r>
        <w:t>наказывается штрафом в размере от ста тысяч до трехсот ты</w:t>
      </w:r>
      <w:r>
        <w:t>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A3665B" w:rsidRDefault="00983347">
      <w:pPr>
        <w:pStyle w:val="a3"/>
      </w:pPr>
      <w:r>
        <w:t>3. Деяни</w:t>
      </w:r>
      <w:r>
        <w:t xml:space="preserve">я, предусмотренные </w:t>
      </w:r>
      <w:hyperlink r:id="rId8" w:history="1">
        <w:r>
          <w:t>частями первой</w:t>
        </w:r>
      </w:hyperlink>
      <w:r>
        <w:t xml:space="preserve"> или </w:t>
      </w:r>
      <w:hyperlink r:id="rId9" w:history="1">
        <w:r>
          <w:t>второй</w:t>
        </w:r>
      </w:hyperlink>
      <w:r>
        <w:t xml:space="preserve"> настоящей статьи, соединенные с искусственным созданием доказательств обвинения, -</w:t>
      </w:r>
    </w:p>
    <w:p w:rsidR="00A3665B" w:rsidRDefault="00983347">
      <w:pPr>
        <w:pStyle w:val="a3"/>
      </w:pPr>
      <w:bookmarkStart w:id="4" w:name="anchor306032"/>
      <w:bookmarkEnd w:id="4"/>
      <w:r>
        <w:t>наказываются принудительными работами на срок до пяти лет либо лишен</w:t>
      </w:r>
      <w:r>
        <w:t>ием свободы на срок до шести лет.</w:t>
      </w:r>
    </w:p>
    <w:sectPr w:rsidR="00A3665B">
      <w:headerReference w:type="default" r:id="rId10"/>
      <w:footerReference w:type="default" r:id="rId11"/>
      <w:pgSz w:w="11906" w:h="16838"/>
      <w:pgMar w:top="794" w:right="794" w:bottom="794"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347" w:rsidRDefault="00983347">
      <w:r>
        <w:separator/>
      </w:r>
    </w:p>
  </w:endnote>
  <w:endnote w:type="continuationSeparator" w:id="0">
    <w:p w:rsidR="00983347" w:rsidRDefault="0098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10" w:type="dxa"/>
        <w:right w:w="10" w:type="dxa"/>
      </w:tblCellMar>
      <w:tblLook w:val="04A0" w:firstRow="1" w:lastRow="0" w:firstColumn="1" w:lastColumn="0" w:noHBand="0" w:noVBand="1"/>
    </w:tblPr>
    <w:tblGrid>
      <w:gridCol w:w="26"/>
      <w:gridCol w:w="1826"/>
      <w:gridCol w:w="327"/>
    </w:tblGrid>
    <w:tr w:rsidR="001E6786">
      <w:tblPrEx>
        <w:tblCellMar>
          <w:top w:w="0" w:type="dxa"/>
          <w:bottom w:w="0" w:type="dxa"/>
        </w:tblCellMar>
      </w:tblPrEx>
      <w:tc>
        <w:tcPr>
          <w:tcW w:w="0" w:type="auto"/>
        </w:tcPr>
        <w:p w:rsidR="001E6786" w:rsidRDefault="00983347">
          <w:pPr>
            <w:pStyle w:val="Standard"/>
            <w:ind w:firstLine="0"/>
            <w:jc w:val="left"/>
          </w:pPr>
          <w:r>
            <w:fldChar w:fldCharType="begin" w:fldLock="1"/>
          </w:r>
          <w:r>
            <w:instrText xml:space="preserve"> DATE \@ "dd'.'MM'.'yyyy" </w:instrText>
          </w:r>
          <w:r>
            <w:fldChar w:fldCharType="separate"/>
          </w:r>
          <w:r>
            <w:fldChar w:fldCharType="end"/>
          </w:r>
        </w:p>
      </w:tc>
      <w:tc>
        <w:tcPr>
          <w:tcW w:w="0" w:type="auto"/>
        </w:tcPr>
        <w:p w:rsidR="001E6786" w:rsidRDefault="00983347">
          <w:pPr>
            <w:pStyle w:val="Standard"/>
            <w:ind w:firstLine="0"/>
            <w:jc w:val="center"/>
          </w:pPr>
          <w:r>
            <w:t>Сис</w:t>
          </w:r>
          <w:r>
            <w:t>тема ГАРАНТ</w:t>
          </w:r>
        </w:p>
      </w:tc>
      <w:tc>
        <w:tcPr>
          <w:tcW w:w="0" w:type="auto"/>
        </w:tcPr>
        <w:p w:rsidR="001E6786" w:rsidRDefault="00983347">
          <w:pPr>
            <w:pStyle w:val="Standard"/>
            <w:ind w:firstLine="0"/>
            <w:jc w:val="right"/>
          </w:pPr>
          <w:r>
            <w:fldChar w:fldCharType="begin"/>
          </w:r>
          <w:r>
            <w:instrText xml:space="preserve"> PAGE </w:instrText>
          </w:r>
          <w:r>
            <w:fldChar w:fldCharType="separate"/>
          </w:r>
          <w:r w:rsidR="00C10828">
            <w:rPr>
              <w:noProof/>
            </w:rPr>
            <w:t>1</w:t>
          </w:r>
          <w:r>
            <w:fldChar w:fldCharType="end"/>
          </w:r>
          <w:r>
            <w:t>/</w:t>
          </w:r>
          <w:r>
            <w:fldChar w:fldCharType="begin"/>
          </w:r>
          <w:r>
            <w:instrText xml:space="preserve"> NUMPAGES \* ARABIC </w:instrText>
          </w:r>
          <w:r>
            <w:fldChar w:fldCharType="separate"/>
          </w:r>
          <w:r w:rsidR="00C10828">
            <w:rPr>
              <w:noProof/>
            </w:rPr>
            <w:t>1</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347" w:rsidRDefault="00983347">
      <w:r>
        <w:separator/>
      </w:r>
    </w:p>
  </w:footnote>
  <w:footnote w:type="continuationSeparator" w:id="0">
    <w:p w:rsidR="00983347" w:rsidRDefault="0098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786" w:rsidRDefault="00983347">
    <w:pPr>
      <w:pStyle w:val="Standard"/>
      <w:ind w:firstLine="0"/>
      <w:jc w:val="left"/>
    </w:pPr>
    <w:proofErr w:type="gramStart"/>
    <w:r>
      <w:t xml:space="preserve">Уголовный кодекс Российской Федерации от 13 июня 1996 г. N 63-ФЗ (УК РФ) (с изменениями и </w:t>
    </w:r>
    <w:proofErr w:type="spellStart"/>
    <w:r>
      <w:t>дополне</w:t>
    </w:r>
    <w:proofErr w:type="spellEnd"/>
    <w: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3665B"/>
    <w:rsid w:val="00983347"/>
    <w:rsid w:val="00A3665B"/>
    <w:rsid w:val="00C10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C10828"/>
    <w:rPr>
      <w:rFonts w:ascii="Tahoma" w:hAnsi="Tahoma" w:cs="Tahoma"/>
      <w:sz w:val="16"/>
      <w:szCs w:val="16"/>
    </w:rPr>
  </w:style>
  <w:style w:type="character" w:customStyle="1" w:styleId="af4">
    <w:name w:val="Текст выноски Знак"/>
    <w:basedOn w:val="a0"/>
    <w:link w:val="af3"/>
    <w:uiPriority w:val="99"/>
    <w:semiHidden/>
    <w:rsid w:val="00C108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C10828"/>
    <w:rPr>
      <w:rFonts w:ascii="Tahoma" w:hAnsi="Tahoma" w:cs="Tahoma"/>
      <w:sz w:val="16"/>
      <w:szCs w:val="16"/>
    </w:rPr>
  </w:style>
  <w:style w:type="character" w:customStyle="1" w:styleId="af4">
    <w:name w:val="Текст выноски Знак"/>
    <w:basedOn w:val="a0"/>
    <w:link w:val="af3"/>
    <w:uiPriority w:val="99"/>
    <w:semiHidden/>
    <w:rsid w:val="00C108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anchor306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document/redirect/404924067/19"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nchor306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USER1</cp:lastModifiedBy>
  <cp:revision>2</cp:revision>
  <dcterms:created xsi:type="dcterms:W3CDTF">2025-11-20T03:44:00Z</dcterms:created>
  <dcterms:modified xsi:type="dcterms:W3CDTF">2025-11-20T03:44:00Z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